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DA" w:rsidRDefault="00EA4DDA" w:rsidP="00EA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:rsidR="00EA4DDA" w:rsidRDefault="00EA4DDA" w:rsidP="00EA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4DDA" w:rsidRDefault="00EA4DDA" w:rsidP="00EA4D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составлению технического задания на проектирование объектов капитального строительства государственной и муниципальной собственности в целях последующего определения экономически обоснованной сметной стоимости проектирования и строительства таких объектов для использования государственными и муниципальными заказчиками, </w:t>
      </w:r>
      <w:proofErr w:type="gramStart"/>
      <w:r>
        <w:rPr>
          <w:b/>
          <w:sz w:val="32"/>
          <w:szCs w:val="32"/>
        </w:rPr>
        <w:t>застройщиками(</w:t>
      </w:r>
      <w:proofErr w:type="gramEnd"/>
      <w:r>
        <w:rPr>
          <w:b/>
          <w:sz w:val="32"/>
          <w:szCs w:val="32"/>
        </w:rPr>
        <w:t>техническими заказчиками) и проектными организациями</w:t>
      </w:r>
    </w:p>
    <w:p w:rsidR="00EA4DDA" w:rsidRDefault="00EA4DDA" w:rsidP="00EA4DDA">
      <w:pPr>
        <w:jc w:val="center"/>
        <w:rPr>
          <w:rFonts w:ascii="Arial" w:hAnsi="Arial" w:cs="Arial"/>
          <w:sz w:val="28"/>
          <w:szCs w:val="28"/>
        </w:rPr>
      </w:pPr>
    </w:p>
    <w:p w:rsidR="00EA4DDA" w:rsidRDefault="00EA4DDA" w:rsidP="00EA4DDA">
      <w:pPr>
        <w:rPr>
          <w:rFonts w:ascii="Arial" w:hAnsi="Arial" w:cs="Arial"/>
        </w:rPr>
      </w:pP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Заглавие документа должно «буква в букву» соответствовать названию объекта согласно контракту (договору), которое прописывается в штампе чертежей проектно-сметной документации и отчетах инженерных изысканий.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основы технических заданий на проектирование объектов капитального строительства государственной и муниципальной собственности в целях последующего определения экономически обоснованной сметной стоимости проектирования и строительства таких объектов предлагается использовать Приказ Минстроя от 01.03.2018 г. №125/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типовой формы задания на проектирование объекта капитального строительства и требований по его подготовке» (далее Приказ).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 основу определения сроков выполнения работ по контракту рекомендуется использовать Приказ Минстроя от 27.02.2015 г. №137/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сведениях об источниках финансирования строительства объекта (п.16 Приказа) требуется указывать размер финансирования (в процентном отношении к полной стоимости проекта) в соответствии с требованиями пункта 13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г. № 145.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должно содержать достоверную информацию о технических условиях на подключение объекта к сетям инженерно-технического обеспечения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ливневой канализации, необходимых и </w:t>
      </w:r>
      <w:r>
        <w:rPr>
          <w:sz w:val="28"/>
          <w:szCs w:val="28"/>
        </w:rPr>
        <w:lastRenderedPageBreak/>
        <w:t>достаточных для подготовки проектной документации (п.7 Приказа). Справка о возможности подключения не является техническими условиями.</w:t>
      </w:r>
    </w:p>
    <w:p w:rsidR="00EA4DDA" w:rsidRDefault="00EA4DDA" w:rsidP="00EA4DDA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техническом задании требуется указывать идентификационные признаки объекта (п.11 Приказа) установленные согласно п.</w:t>
      </w:r>
      <w:bookmarkStart w:id="0" w:name="_GoBack"/>
      <w:r w:rsidRPr="00247DAA">
        <w:rPr>
          <w:sz w:val="28"/>
          <w:szCs w:val="28"/>
        </w:rPr>
        <w:t xml:space="preserve">11 </w:t>
      </w:r>
      <w:hyperlink r:id="rId5" w:history="1">
        <w:r w:rsidRPr="00247DAA">
          <w:rPr>
            <w:rStyle w:val="a3"/>
            <w:color w:val="auto"/>
            <w:sz w:val="28"/>
            <w:szCs w:val="28"/>
            <w:u w:val="none"/>
          </w:rPr>
          <w:t>статьи 4 Федерального закона от 30 декабря 2009 г. N 384-ФЗ "Технический регламент о безопасности зданий и сооружений"</w:t>
        </w:r>
      </w:hyperlink>
      <w:r w:rsidRPr="00247DAA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К ним относится:        </w:t>
      </w:r>
      <w:r>
        <w:t xml:space="preserve"> </w:t>
      </w:r>
      <w:r>
        <w:rPr>
          <w:sz w:val="28"/>
          <w:szCs w:val="28"/>
        </w:rPr>
        <w:t>1) назначение; 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 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 4) принадлежность к опасным производственным объектам; 5) пожарная и взрывопожарная опасность; 6) наличие помещений с постоянным пребыванием людей; 7) уровень ответственности.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выполнения инженерных изысканий для подготовки проектной документации необходимо обратить внимание на обеспечение комплектности прикладываемых материалов, а также указывать требования к разработке и оформлению отчетной документации (п.14 Приказа), а именно:</w:t>
      </w:r>
    </w:p>
    <w:p w:rsidR="00EA4DDA" w:rsidRPr="006E37BB" w:rsidRDefault="00EA4DDA" w:rsidP="00EA4DDA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 xml:space="preserve">При подготовке Технического задания на выполнение инженерно-геодезических изысканий следует руководствоваться положениями действующих нормативных документов (п.5 ст. 47 ГК РФ 190-ФЗ, </w:t>
      </w:r>
      <w:proofErr w:type="spellStart"/>
      <w:r w:rsidRPr="006E37BB">
        <w:rPr>
          <w:rFonts w:ascii="Times New Roman" w:hAnsi="Times New Roman"/>
          <w:sz w:val="28"/>
          <w:szCs w:val="28"/>
        </w:rPr>
        <w:t>п.п</w:t>
      </w:r>
      <w:proofErr w:type="spellEnd"/>
      <w:r w:rsidRPr="006E37BB">
        <w:rPr>
          <w:rFonts w:ascii="Times New Roman" w:hAnsi="Times New Roman"/>
          <w:sz w:val="28"/>
          <w:szCs w:val="28"/>
        </w:rPr>
        <w:t xml:space="preserve">. 4.9-4.14 СП 47.13330.2012; </w:t>
      </w:r>
      <w:proofErr w:type="spellStart"/>
      <w:r w:rsidRPr="006E37BB">
        <w:rPr>
          <w:rFonts w:ascii="Times New Roman" w:hAnsi="Times New Roman"/>
          <w:sz w:val="28"/>
          <w:szCs w:val="28"/>
        </w:rPr>
        <w:t>п.п</w:t>
      </w:r>
      <w:proofErr w:type="spellEnd"/>
      <w:r w:rsidRPr="006E37BB">
        <w:rPr>
          <w:rFonts w:ascii="Times New Roman" w:hAnsi="Times New Roman"/>
          <w:sz w:val="28"/>
          <w:szCs w:val="28"/>
        </w:rPr>
        <w:t>. 4.13-4.15, п.5.1.12 СП 47.13330.2016; п. 10.6 приказа Минстроя РФ 341/</w:t>
      </w:r>
      <w:proofErr w:type="spellStart"/>
      <w:r w:rsidRPr="006E37BB">
        <w:rPr>
          <w:rFonts w:ascii="Times New Roman" w:hAnsi="Times New Roman"/>
          <w:sz w:val="28"/>
          <w:szCs w:val="28"/>
        </w:rPr>
        <w:t>пр</w:t>
      </w:r>
      <w:proofErr w:type="spellEnd"/>
      <w:r w:rsidRPr="006E37BB">
        <w:rPr>
          <w:rFonts w:ascii="Times New Roman" w:hAnsi="Times New Roman"/>
          <w:sz w:val="28"/>
          <w:szCs w:val="28"/>
        </w:rPr>
        <w:t xml:space="preserve"> от 08.06.2018) и других документов в области стандартизации, регламентирующих выполнение инженерно-геодезических изысканий. </w:t>
      </w:r>
    </w:p>
    <w:p w:rsidR="00EA4DDA" w:rsidRPr="006E37BB" w:rsidRDefault="00EA4DDA" w:rsidP="00EA4DDA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>Положения сводов правил обязательны для физических и юридических лиц, осуществляющих деятельность в области инженерных изысканий на территории РФ. Вместе с тем существуют попытки исполнителей работ ссылаться на отсутствие требований Технического задания при невыполнении тех или иных требований сводов правил. Чтобы этого не происходило, всегда следует указывать в ТЗ перечень нормативных правовых актов, нормативно-технические документы (НТД), в соответствии с которыми необходимо выполнять инженерные изыскания. При изменении каких-либо параметров объекта (границ, дополнительных требований к изысканиям от проектировщика, непредвиденных сложных природных и техногенных условиях) должно оформляться новое Техническое задание или дополнение к существующему заданию.</w:t>
      </w:r>
    </w:p>
    <w:p w:rsidR="00EA4DDA" w:rsidRPr="006E37BB" w:rsidRDefault="00EA4DDA" w:rsidP="00EA4DDA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lastRenderedPageBreak/>
        <w:t xml:space="preserve">В Техническом задании следует подробно прописывать дополнительные требования к выполнению работ по обследованию подземных и надземных коммуникаций с указанием их технических характеристик и глубины заложения или высоты подвеса проводов, в соответствии с Техническими условиями на подключение к сетям инженерных коммуникации.  Точки подключения к сетям должны быть показаны на </w:t>
      </w:r>
      <w:proofErr w:type="spellStart"/>
      <w:r w:rsidRPr="006E37BB">
        <w:rPr>
          <w:rFonts w:ascii="Times New Roman" w:hAnsi="Times New Roman"/>
          <w:sz w:val="28"/>
          <w:szCs w:val="28"/>
        </w:rPr>
        <w:t>выкопировке</w:t>
      </w:r>
      <w:proofErr w:type="spellEnd"/>
      <w:r w:rsidRPr="006E37BB">
        <w:rPr>
          <w:rFonts w:ascii="Times New Roman" w:hAnsi="Times New Roman"/>
          <w:sz w:val="28"/>
          <w:szCs w:val="28"/>
        </w:rPr>
        <w:t xml:space="preserve"> с границами работ, учитывающими коридоры съемки к этим точкам.</w:t>
      </w:r>
    </w:p>
    <w:p w:rsidR="00EA4DDA" w:rsidRPr="006E37BB" w:rsidRDefault="00EA4DDA" w:rsidP="00EA4DDA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37BB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6E37BB">
        <w:rPr>
          <w:rFonts w:ascii="Times New Roman" w:hAnsi="Times New Roman"/>
          <w:sz w:val="28"/>
          <w:szCs w:val="28"/>
        </w:rPr>
        <w:t xml:space="preserve"> с границами работ является неотъемлемой частью Технического задания.    </w:t>
      </w:r>
    </w:p>
    <w:p w:rsidR="00EA4DDA" w:rsidRPr="006E37BB" w:rsidRDefault="00EA4DDA" w:rsidP="00EA4DDA">
      <w:pPr>
        <w:pStyle w:val="a4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>В большинстве случаев следует предъявлять требование к закреплению системы координат и высот в районе будущего строительства геодезическими знаками, обеспечивающими их сохранность на весь период строительства, если исходные пункты государственной сети не находятся в непосредственной близости (до 100м) от участка работ.</w:t>
      </w:r>
    </w:p>
    <w:p w:rsidR="00EA4DDA" w:rsidRPr="006E37BB" w:rsidRDefault="00EA4DDA" w:rsidP="00EA4DDA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>Если для размещения объекта капитального строительства требуется показывать на топографическом плане границы смежных земельных участков (Кадастровый план территории) – это должно быть отражено отдельным пунктом ТЗ.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строительства, реконструкции или капитальном ремонте объекта на территории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зон, техническое задание должно содержать требование о соответствующем согласовании Федеральным агентством по рыболовству (его территориальными органами).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rStyle w:val="blk"/>
        </w:rPr>
      </w:pPr>
      <w:r>
        <w:rPr>
          <w:sz w:val="28"/>
          <w:szCs w:val="28"/>
        </w:rPr>
        <w:t xml:space="preserve">В случае строительства, реконструкции или капитальном ремонте объекта, при котором будут осуществляться земляные работы, техническое задание должно содержать информацию о заключении Комитета по охране объектов культурного наследия области на предмет </w:t>
      </w:r>
      <w:r>
        <w:rPr>
          <w:rStyle w:val="blk"/>
          <w:sz w:val="28"/>
          <w:szCs w:val="28"/>
        </w:rPr>
        <w:t>определения наличия или отсутствия объектов археологического наследия либо объектов, обладающих признаками объекта археологического наследия на участке земляных работ.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Оформление исходно-разрешительной документации на земельный участок:</w:t>
      </w:r>
    </w:p>
    <w:p w:rsidR="00EA4DDA" w:rsidRDefault="00EA4DDA" w:rsidP="00EA4DDA">
      <w:pPr>
        <w:spacing w:line="276" w:lineRule="auto"/>
        <w:ind w:left="714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для объекта капитального строительства - градостроительный план (оформленный согласно в соответствии с требованиями главы III приказа «Об утверждении формы градостроительного плана земельного участка и порядка ее заполнения» от 25 апреля 2017 года N 741/пр. утвержденного Министерством строительства и жилищно-коммунального хозяйства Российской Федерации);</w:t>
      </w:r>
    </w:p>
    <w:p w:rsidR="00EA4DDA" w:rsidRDefault="00EA4DDA" w:rsidP="00EA4DDA">
      <w:pPr>
        <w:spacing w:line="276" w:lineRule="auto"/>
        <w:ind w:left="714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для линейных объектов – проект планировки территории (ППТ). В случае если ППТ не утвержден, обязательными приложениями к заданию </w:t>
      </w:r>
      <w:r>
        <w:rPr>
          <w:rStyle w:val="blk"/>
          <w:sz w:val="28"/>
          <w:szCs w:val="28"/>
        </w:rPr>
        <w:lastRenderedPageBreak/>
        <w:t>застройщика или технического заказчика на проектирование в соответствии с требованиями п.11.1 ст.48 № 190-ФЗ Градостроительный Кодекс РФ, являются:</w:t>
      </w:r>
    </w:p>
    <w:p w:rsidR="00EA4DDA" w:rsidRDefault="00EA4DDA" w:rsidP="00EA4DDA">
      <w:pPr>
        <w:spacing w:line="276" w:lineRule="auto"/>
        <w:ind w:left="714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1) решение о подготовке такой документации по планировке территории;</w:t>
      </w:r>
    </w:p>
    <w:p w:rsidR="00EA4DDA" w:rsidRDefault="00EA4DDA" w:rsidP="00EA4DDA">
      <w:pPr>
        <w:spacing w:line="276" w:lineRule="auto"/>
        <w:ind w:left="714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 чертеж границ зон планируемого размещения соответствующего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соответствующего линейного объекта.</w:t>
      </w:r>
    </w:p>
    <w:p w:rsidR="00EA4DDA" w:rsidRDefault="00EA4DDA" w:rsidP="00EA4DDA">
      <w:pPr>
        <w:spacing w:line="276" w:lineRule="auto"/>
        <w:ind w:left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случае, предусмотренном частью 11.1 ст.48 № 190-ФЗ Градостроительный Кодекс РФ, </w:t>
      </w:r>
      <w:r>
        <w:rPr>
          <w:rStyle w:val="blk"/>
          <w:b/>
          <w:sz w:val="28"/>
          <w:szCs w:val="28"/>
        </w:rPr>
        <w:t>проектная документация линейного объекта направляется на экспертизу проектной документации при наличии утвержденного проекта планировки территории</w:t>
      </w:r>
      <w:r>
        <w:rPr>
          <w:rStyle w:val="blk"/>
          <w:sz w:val="28"/>
          <w:szCs w:val="28"/>
        </w:rPr>
        <w:t xml:space="preserve">, предусматривающего строительство, реконструкцию линейного объекта. 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При составлении технического задания учитывается назначение предоставляемого земельного участка на предмет требований по переводу в другую категорию (например, из земель лесного фонда в земли промышленности или в земли населенных пунктов).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При составлении технического задания учитывается размещение предоставляемого земельного участка на предмет нахождения в границах Особо-охраняемой природной территории (ООПТ федерального, регионального, местного значения) или в границах Санитарно-защитной зоны.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случае использования проекта из Реестра экономически эффективной проектной документации повторного использования, необходимо оценить проект на предмет объемов возможного перепроектирования с учетом изменений законодательства, параметров климатологии, размещения объекта на земельном участке, инженерно-технических условий и изменения точек подключения объекта к сетям.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 xml:space="preserve"> Требования к конструктивным и объемно-планировочным решениям (п.7 Приказа):</w:t>
      </w:r>
    </w:p>
    <w:p w:rsidR="00EA4DDA" w:rsidRPr="006E37BB" w:rsidRDefault="00EA4DDA" w:rsidP="00EA4DDA">
      <w:pPr>
        <w:pStyle w:val="a4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>В техническом задании на разработку проектной документации по реконструкции объектов капитального строительства рекомендуется предусматривать возможность изменения объемов работ проводимой реконструкции, необходимость которой определена в ходе обследования объекта или в ходе разработки проектных решений.</w:t>
      </w:r>
    </w:p>
    <w:p w:rsidR="00EA4DDA" w:rsidRPr="006E37BB" w:rsidRDefault="00EA4DDA" w:rsidP="00EA4DDA">
      <w:pPr>
        <w:pStyle w:val="a4"/>
        <w:numPr>
          <w:ilvl w:val="0"/>
          <w:numId w:val="2"/>
        </w:num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 xml:space="preserve">Для реконструируемых объектов рекомендуется выполнение первоочередного обследования объекта, по результатам которого составляется техническое здание на реконструкцию объекта капитального </w:t>
      </w:r>
      <w:r w:rsidRPr="006E37BB">
        <w:rPr>
          <w:rFonts w:ascii="Times New Roman" w:hAnsi="Times New Roman"/>
          <w:sz w:val="28"/>
          <w:szCs w:val="28"/>
        </w:rPr>
        <w:lastRenderedPageBreak/>
        <w:t>строительства (в настоящее время для значительной части объектов весь комплекс изысканий, включая обследование, выполняется на стадии проектирования по одному контракту на выполнение архитектурно-строительного проектирования и проведение изысканий).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мероприятиям по обеспечению пожарной безопасности должны содержать: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>При проектировании водопроводных сетей в поселениях и городских округах с количеством жителей более 5000 человек предусмотреть установку на них пожарных гидрантов, расстановка которых обеспечивает возможность прокладки рукавных линий длиной не более 200 метров к каждому зданию и сооружению на территории поселения по дорогам с твердым покрытием. Разработать комплекс мероприятий, обеспечивающих гидравлические характеристики водопроводной сети, обеспечивающие возможность наружного пожаротушения каждого здания (сооружения) с нормативным расходом воды в течение нормативного времени согласно требованиям СП 8.13130.2009.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>При проектировании зданий классов функциональной пожарной опасности Ф1.1, Ф1.2, Ф2, Ф3, Ф4 объемом  более 1000 кубических метров, либо зданий и сооружений класса функциональной пожарной опасности </w:t>
      </w:r>
      <w:hyperlink r:id="rId6" w:anchor="ст32" w:tooltip="Статья 32" w:history="1">
        <w:r w:rsidRPr="006E37BB">
          <w:rPr>
            <w:rStyle w:val="a3"/>
            <w:rFonts w:ascii="Times New Roman" w:hAnsi="Times New Roman"/>
            <w:sz w:val="28"/>
            <w:szCs w:val="28"/>
          </w:rPr>
          <w:t>Ф5</w:t>
        </w:r>
      </w:hyperlink>
      <w:r w:rsidRPr="006E37BB">
        <w:rPr>
          <w:rFonts w:ascii="Times New Roman" w:hAnsi="Times New Roman"/>
          <w:sz w:val="28"/>
          <w:szCs w:val="28"/>
        </w:rPr>
        <w:t> при расходе воды на наружное пожаротушение более 10 литров в секунду, складов грубых кормов объемом более 1000 кубических метров, складов минеральных удобрений объемом более 5000 кубических метров, размещенных на территории поселений, обеспечить их противопожарное водоснабжение от наружных водопроводных сетей с пожарными гидрантами. Аналогичные мероприятия предусмотреть при проектировании водопроводных сетей в поселениях и городских округах с наличием на их территории указанных выше объектов, вне зависимости от количества жителей в поселении (ФЗ-123, статья 68).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 xml:space="preserve">Расстояния по горизонтали (в свету) от подземных инженерных сетей до фундаментов зданий и сооружений, бортового камня проезжей части (укрепленной полосы обочины) автодороги, фундаментов опор воздушных линий электропередачи принять не менее регламентированных требованиями п. 6.1.30 и таблицы 9 СП 4.13130.2013. Исключить прокладку подземных инженерных сетей под проезжей частью, за исключением участков пересечения с ней под прямым углом. 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 xml:space="preserve">Расстояния по горизонтали (в свету) между соседними подземными инженерными сетями при их параллельном размещении принять не менее указанных в таблице 10 СП 4.13130.2013.   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lastRenderedPageBreak/>
        <w:t>Расстояние от зданий производственных объектов (независимо от степени их огнестойкости) до границ лесного массива хвойных пород и мест разработки или открытого залегания торфа принять не менее 100 м, смешанных пород - не менее 50 м, лиственных пород - не менее 20 м (ФЗ-123, статья 69, часть 2; СП 4.13130.2013, п. 6.1.6).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 xml:space="preserve">Обеспечить противопожарные расстояния от границ застройки городских поселений до лесных насаждений в лесничествах (лесопарках) не менее 50 м, а от границ застройки городских и сельских поселений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(ФЗ-123, статья 69, часть 2; СП 4.13130.2013, п. 4.1.4). 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>В замкнутых и полузамкнутых дворах предусмотреть проезды для пожарных автомобилей, при этом тупиковые проезды должны заканчиваться площадками для разворота пожарной техники размером не менее чем 15х15 метров (СП 4.13130.2013, пункты 8.10, 8.13).</w:t>
      </w:r>
    </w:p>
    <w:p w:rsidR="00EA4DDA" w:rsidRPr="006E37BB" w:rsidRDefault="00EA4DDA" w:rsidP="00EA4DD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37BB">
        <w:rPr>
          <w:rFonts w:ascii="Times New Roman" w:hAnsi="Times New Roman"/>
          <w:sz w:val="28"/>
          <w:szCs w:val="28"/>
        </w:rPr>
        <w:t xml:space="preserve">Кабельные линии и электропроводка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и </w:t>
      </w:r>
      <w:proofErr w:type="spellStart"/>
      <w:r w:rsidRPr="006E37BB">
        <w:rPr>
          <w:rFonts w:ascii="Times New Roman" w:hAnsi="Times New Roman"/>
          <w:sz w:val="28"/>
          <w:szCs w:val="28"/>
        </w:rPr>
        <w:t>противодымной</w:t>
      </w:r>
      <w:proofErr w:type="spellEnd"/>
      <w:r w:rsidRPr="006E37BB">
        <w:rPr>
          <w:rFonts w:ascii="Times New Roman" w:hAnsi="Times New Roman"/>
          <w:sz w:val="28"/>
          <w:szCs w:val="28"/>
        </w:rPr>
        <w:t> 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времени, необходимого для выполнения их функций и эвакуации людей в безопасную зону (ФЗ-123, статья 82, часть 2).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электроснабжению (п. 24.1.5 Приказа) должны содержать: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в проекте дизель генераторной установки (ДГУ), предусматривать емкость для топлива необходимую для бесперебойной работы на время не менее 1 суток (ПУЭ п.1.2.21). В случае превышения объема емкости топлива основного и резервных баков 1м3 предусмотреть площадки для слива дизельного топлива. Для возможности дозаправки предусмотреть возможность подъезда к ДЭС.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проектируемых наружных инженерных сетей выполнить требования ПУЭ п.2.3.85-2.3.88, п.6.3.8 и СП 42.13330.2011 табл.15, табл.16.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предусмотреть светотехнический расчет наружного освещения, подтверждающий принятую освещенность.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Применить кабельную продукцию согласно ГОСТ 31996-2012 табл.17 и ГОСТ 31565-2012 табл.2 и п.5.10.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вводных кабелей (класса пожарной опасности – О1.8.2.5.4) внутри здания выполнить огнезащиту от точки ввода (покрыть огнезащитным составом), т.к. такие кабели не предназначены для прокладки во внутренних электроустановках, а также в зданиях, сооружениях.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материал и диаметр заземлителей согласно ГОСТ Р 50571.5.54-2013 п.542.2.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площадью более 60м2 предусмотреть </w:t>
      </w:r>
      <w:proofErr w:type="spellStart"/>
      <w:r>
        <w:rPr>
          <w:sz w:val="28"/>
          <w:szCs w:val="28"/>
        </w:rPr>
        <w:t>антипаническое</w:t>
      </w:r>
      <w:proofErr w:type="spellEnd"/>
      <w:r>
        <w:rPr>
          <w:sz w:val="28"/>
          <w:szCs w:val="28"/>
        </w:rPr>
        <w:t xml:space="preserve"> освещение, согласно СП 52.13330.2011 п.7.108.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освещенности учитывать требования п.5.2.34 СП 59.13330.2012. «Освещенность на путях эвакуации и в местах оказания услуг для маломобильных групп населения(МГН) … следует повышать на одну ступень».</w:t>
      </w:r>
    </w:p>
    <w:p w:rsidR="00EA4DDA" w:rsidRDefault="00EA4DDA" w:rsidP="00EA4DDA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разделе слаботочных сетей предусмотреть: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Телефонная связь общего пользования (СП 134.13330.2012 табл.1 п.1; СП 118.13330.2012 п.4.18). Получить Технические Условия на телефонизацию проектируемого здания (№ 190-ФЗ «Градостроительный кодекс РФ» ст. 48 п. 6.3), (Постановление правительства РФ от 16 февраля 2008 года №87 «О составе разделов проектной документации и требованиях к их содержанию» п.10 б);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Внутриобъектовая</w:t>
      </w:r>
      <w:proofErr w:type="spellEnd"/>
      <w:r>
        <w:rPr>
          <w:sz w:val="28"/>
          <w:szCs w:val="28"/>
        </w:rPr>
        <w:t xml:space="preserve"> сеть местной телефонной связи (СП 134.13330.2012 табл.1 п.2; СП 118.13330.2012 п.4.18);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Сети проводного радиовещания (СП 134.13330.2012 табл.1 п.3; СП 118.13330.2012 п.4.18). Получить ТУ ПАО «Ростелеком» на радиофикацию или письмо ПАО «Ростелеком» о невозможности подключения к проводному радиовещанию. (№ 190-ФЗ «Градостроительный кодекс РФ» ст. 48 п. 6.3), (Постановление правительства РФ от 16 февраля 2008 года №87 «О составе разделов проектной документации и требованиях к их содержанию» п.10 б);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Телевизионное вещание (СП 134.13330.2012 табл.1 п.4, СП 118.13330.2012 п.4.18);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Интернет и ЛВС (локально-вычислительная сеть) (СП 134.13330.2012 табл.1 п.5, СП 118.13330.2012 п.4.19);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Система диспетчерской связи (СП 134.13330.2012 табл.1 п.6.1);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Пожарной сигнализацией (в том числе передача сигнала о пожаре в службы экстренного реагирования МЧС) и СОУЭ (СП 134.13330.2012 табл.1 п.п.6.5.8-6.5.10,6.5.13,7,9, СП 118.13330.2012 п.4.18);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Местная система оповещения и </w:t>
      </w:r>
      <w:proofErr w:type="spellStart"/>
      <w:r>
        <w:rPr>
          <w:sz w:val="28"/>
          <w:szCs w:val="28"/>
        </w:rPr>
        <w:t>звукофикации</w:t>
      </w:r>
      <w:proofErr w:type="spellEnd"/>
      <w:r>
        <w:rPr>
          <w:sz w:val="28"/>
          <w:szCs w:val="28"/>
        </w:rPr>
        <w:t xml:space="preserve"> (СП 134.13330.2012 табл.1 п.8.1 или п.8.2 в зависимости от места расположения объекта);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Объектовая система оповещения (СП 134.13330.2012 табл.1 п.8.4);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Видеонаблюдение (СП 134.13330.2012 табл.1 п.10.1, СП 118.13330.2012 п.6.48, СП 132.13330.2011). В системе видеонаблюдения уточнить время хранения записи с камер. Выполнить расчет необходимой емкости хранилища видеоархива;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Экстренная связь (СП 134.13330.2012 табл.1 п.10.2, СП 132.13330.2011);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Охранная сигнализация (СП 134.13330.2012 табл.1 п.11, СП 118.13330.2012 п.4.18, СП 132.13330.2011);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Охрана входов и система досмотра (СП 134.13330.2012 табл.1 п.п.12,13, СП 132.13330.2011) Как внутри здания, так и доступ на территорию;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Система озвучивания помещений (СП 134.13330.2012 табл.1 п.п.14);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Электрочасофикация</w:t>
      </w:r>
      <w:proofErr w:type="spellEnd"/>
      <w:r>
        <w:rPr>
          <w:sz w:val="28"/>
          <w:szCs w:val="28"/>
        </w:rPr>
        <w:t xml:space="preserve"> (СП 134.13330.2012 табл.1 п.15, СП 118.13330.2012 п.4.18);</w:t>
      </w:r>
    </w:p>
    <w:p w:rsidR="00EA4DDA" w:rsidRDefault="00EA4DDA" w:rsidP="00EA4DDA">
      <w:pPr>
        <w:numPr>
          <w:ilvl w:val="0"/>
          <w:numId w:val="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Система двухсторонней связи для МГН согласно п.5.5.7 СП 59.13330.2012.</w:t>
      </w:r>
    </w:p>
    <w:p w:rsidR="00EA4DDA" w:rsidRDefault="00EA4DDA" w:rsidP="00EA4DD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подготовке сметной документации должны содержать (п.39 Приказа) информацию с требованием подготовки обоснования предполагаемой (предельной) стоимости строительства на основе укрупненных нормативов цены строительства или, при их отсутствии, на основе документально подтвержденных сведений о проектах-аналогах (при наличии таких проектов) аналогичных по назначению, проектной мощности, природным и иным условиям территории, на которой планируется осуществлять строительство, в соответствии с требованиями пункта 29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   № 87 .</w:t>
      </w:r>
    </w:p>
    <w:p w:rsidR="00EA4DDA" w:rsidRDefault="00EA4DDA" w:rsidP="00EA4DDA">
      <w:pPr>
        <w:jc w:val="center"/>
        <w:rPr>
          <w:b/>
          <w:sz w:val="32"/>
          <w:szCs w:val="32"/>
        </w:rPr>
      </w:pPr>
    </w:p>
    <w:p w:rsidR="00EA4DDA" w:rsidRDefault="00EA4DDA" w:rsidP="00EA4DDA">
      <w:pPr>
        <w:spacing w:line="312" w:lineRule="auto"/>
        <w:jc w:val="both"/>
        <w:rPr>
          <w:sz w:val="26"/>
          <w:szCs w:val="26"/>
        </w:rPr>
      </w:pPr>
    </w:p>
    <w:p w:rsidR="00913BE0" w:rsidRDefault="00913BE0"/>
    <w:sectPr w:rsidR="00913BE0" w:rsidSect="007F47C5">
      <w:pgSz w:w="11906" w:h="16838"/>
      <w:pgMar w:top="900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DD5"/>
    <w:multiLevelType w:val="hybridMultilevel"/>
    <w:tmpl w:val="0D0E408C"/>
    <w:lvl w:ilvl="0" w:tplc="51908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0EB"/>
    <w:multiLevelType w:val="hybridMultilevel"/>
    <w:tmpl w:val="450A19BE"/>
    <w:lvl w:ilvl="0" w:tplc="519085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B90218F"/>
    <w:multiLevelType w:val="hybridMultilevel"/>
    <w:tmpl w:val="3A16DF86"/>
    <w:lvl w:ilvl="0" w:tplc="51908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1F37"/>
    <w:multiLevelType w:val="hybridMultilevel"/>
    <w:tmpl w:val="4B44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231"/>
    <w:multiLevelType w:val="hybridMultilevel"/>
    <w:tmpl w:val="CC82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DA"/>
    <w:rsid w:val="00247DAA"/>
    <w:rsid w:val="00913BE0"/>
    <w:rsid w:val="00E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FBA5-0024-4DEC-AB76-7B03433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DDA"/>
    <w:rPr>
      <w:color w:val="0000FF"/>
      <w:u w:val="single"/>
    </w:rPr>
  </w:style>
  <w:style w:type="character" w:customStyle="1" w:styleId="blk">
    <w:name w:val="blk"/>
    <w:rsid w:val="00EA4DDA"/>
  </w:style>
  <w:style w:type="paragraph" w:styleId="a4">
    <w:name w:val="List Paragraph"/>
    <w:basedOn w:val="a"/>
    <w:uiPriority w:val="34"/>
    <w:qFormat/>
    <w:rsid w:val="00EA4D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EA4DD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47D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rmacs://normacs.ru/START0?dob=43831.000000&amp;dol=43889.373206" TargetMode="External"/><Relationship Id="rId5" Type="http://schemas.openxmlformats.org/officeDocument/2006/relationships/hyperlink" Target="http://docs.cntd.ru/document/90219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2</cp:revision>
  <cp:lastPrinted>2020-03-05T05:41:00Z</cp:lastPrinted>
  <dcterms:created xsi:type="dcterms:W3CDTF">2020-03-05T05:38:00Z</dcterms:created>
  <dcterms:modified xsi:type="dcterms:W3CDTF">2020-03-05T05:56:00Z</dcterms:modified>
</cp:coreProperties>
</file>